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D4B" w:rsidRDefault="009A0531">
      <w:pPr>
        <w:ind w:firstLineChars="200" w:firstLine="562"/>
        <w:jc w:val="center"/>
        <w:outlineLvl w:val="2"/>
        <w:rPr>
          <w:b/>
          <w:szCs w:val="24"/>
        </w:rPr>
      </w:pPr>
      <w:bookmarkStart w:id="0" w:name="_Toc6563"/>
      <w:r>
        <w:rPr>
          <w:rFonts w:hint="eastAsia"/>
          <w:b/>
          <w:szCs w:val="24"/>
        </w:rPr>
        <w:t>《</w:t>
      </w:r>
      <w:r>
        <w:rPr>
          <w:b/>
          <w:szCs w:val="24"/>
        </w:rPr>
        <w:t>防城港企沙港区赤沙仓储物流园项目</w:t>
      </w:r>
      <w:r>
        <w:rPr>
          <w:rFonts w:hint="eastAsia"/>
          <w:b/>
          <w:szCs w:val="24"/>
        </w:rPr>
        <w:t>水运</w:t>
      </w:r>
      <w:r>
        <w:rPr>
          <w:b/>
          <w:szCs w:val="24"/>
        </w:rPr>
        <w:t>工程建设项目施工图技术审查报告</w:t>
      </w:r>
      <w:r>
        <w:rPr>
          <w:rFonts w:hint="eastAsia"/>
          <w:b/>
          <w:szCs w:val="24"/>
        </w:rPr>
        <w:t>》意见回复</w:t>
      </w:r>
    </w:p>
    <w:p w:rsidR="00F42D4B" w:rsidRDefault="009A0531">
      <w:pPr>
        <w:spacing w:line="440" w:lineRule="exact"/>
        <w:ind w:firstLineChars="200" w:firstLine="482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第一册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总体设计</w:t>
      </w:r>
      <w:bookmarkEnd w:id="0"/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设计说明</w:t>
      </w:r>
    </w:p>
    <w:p w:rsidR="00F42D4B" w:rsidRDefault="009A0531">
      <w:pPr>
        <w:pStyle w:val="20"/>
        <w:spacing w:after="0" w:line="440" w:lineRule="exact"/>
        <w:ind w:leftChars="0" w:left="0" w:firstLine="480"/>
        <w:rPr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rFonts w:hint="eastAsia"/>
          <w:sz w:val="24"/>
        </w:rPr>
        <w:t>2.3.2</w:t>
      </w:r>
      <w:r>
        <w:rPr>
          <w:rFonts w:hint="eastAsia"/>
          <w:sz w:val="24"/>
        </w:rPr>
        <w:t>中</w:t>
      </w:r>
      <w:r>
        <w:rPr>
          <w:sz w:val="24"/>
        </w:rPr>
        <w:t>设计波浪要素</w:t>
      </w:r>
      <w:r>
        <w:rPr>
          <w:rFonts w:hint="eastAsia"/>
          <w:sz w:val="24"/>
        </w:rPr>
        <w:t>宜整理汇总本工程采用的</w:t>
      </w:r>
      <w:r>
        <w:rPr>
          <w:rFonts w:hint="eastAsia"/>
          <w:sz w:val="24"/>
        </w:rPr>
        <w:t>50</w:t>
      </w:r>
      <w:r>
        <w:rPr>
          <w:rFonts w:hint="eastAsia"/>
          <w:sz w:val="24"/>
        </w:rPr>
        <w:t>年一遇各向波浪与设计高水位、</w:t>
      </w:r>
      <w:proofErr w:type="gramStart"/>
      <w:r>
        <w:rPr>
          <w:rFonts w:hint="eastAsia"/>
          <w:sz w:val="24"/>
        </w:rPr>
        <w:t>极端高</w:t>
      </w:r>
      <w:proofErr w:type="gramEnd"/>
      <w:r>
        <w:rPr>
          <w:rFonts w:hint="eastAsia"/>
          <w:sz w:val="24"/>
        </w:rPr>
        <w:t>水位组合下对应的波高</w:t>
      </w:r>
      <w:r>
        <w:rPr>
          <w:rFonts w:hint="eastAsia"/>
          <w:sz w:val="24"/>
        </w:rPr>
        <w:t>H</w:t>
      </w:r>
      <w:r>
        <w:rPr>
          <w:rFonts w:hint="eastAsia"/>
          <w:sz w:val="24"/>
          <w:vertAlign w:val="subscript"/>
        </w:rPr>
        <w:t>13%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H</w:t>
      </w:r>
      <w:r>
        <w:rPr>
          <w:rFonts w:hint="eastAsia"/>
          <w:sz w:val="24"/>
          <w:vertAlign w:val="subscript"/>
        </w:rPr>
        <w:t>1%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H</w:t>
      </w:r>
      <w:r>
        <w:rPr>
          <w:rFonts w:hint="eastAsia"/>
          <w:sz w:val="24"/>
          <w:vertAlign w:val="subscript"/>
        </w:rPr>
        <w:t>5%</w:t>
      </w:r>
      <w:r>
        <w:rPr>
          <w:rFonts w:hint="eastAsia"/>
          <w:sz w:val="24"/>
        </w:rPr>
        <w:t>及波长、周期等数据</w:t>
      </w:r>
      <w:r>
        <w:rPr>
          <w:sz w:val="24"/>
        </w:rPr>
        <w:t>。</w:t>
      </w:r>
    </w:p>
    <w:p w:rsidR="00F42D4B" w:rsidRDefault="009A0531">
      <w:pPr>
        <w:pStyle w:val="20"/>
        <w:spacing w:after="0" w:line="440" w:lineRule="exact"/>
        <w:ind w:leftChars="0" w:left="0" w:firstLine="480"/>
        <w:rPr>
          <w:sz w:val="24"/>
        </w:rPr>
      </w:pPr>
      <w:r>
        <w:rPr>
          <w:rFonts w:hint="eastAsia"/>
          <w:sz w:val="24"/>
        </w:rPr>
        <w:t>回复：已完善，详见报告相关章节。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）</w:t>
      </w:r>
      <w:r>
        <w:rPr>
          <w:sz w:val="24"/>
          <w:szCs w:val="24"/>
        </w:rPr>
        <w:t>4.2</w:t>
      </w:r>
      <w:r>
        <w:rPr>
          <w:sz w:val="24"/>
          <w:szCs w:val="24"/>
        </w:rPr>
        <w:t>中，</w:t>
      </w:r>
      <w:proofErr w:type="gramStart"/>
      <w:r>
        <w:rPr>
          <w:sz w:val="24"/>
          <w:szCs w:val="24"/>
        </w:rPr>
        <w:t>堤心石采用</w:t>
      </w:r>
      <w:proofErr w:type="gramEnd"/>
      <w:r>
        <w:rPr>
          <w:sz w:val="24"/>
          <w:szCs w:val="24"/>
        </w:rPr>
        <w:t>1</w:t>
      </w:r>
      <w:r>
        <w:rPr>
          <w:sz w:val="24"/>
          <w:szCs w:val="24"/>
        </w:rPr>
        <w:t>～</w:t>
      </w:r>
      <w:r>
        <w:rPr>
          <w:sz w:val="24"/>
          <w:szCs w:val="24"/>
        </w:rPr>
        <w:t>300kg</w:t>
      </w:r>
      <w:r>
        <w:rPr>
          <w:sz w:val="24"/>
          <w:szCs w:val="24"/>
        </w:rPr>
        <w:t>开山石，建议</w:t>
      </w:r>
      <w:r>
        <w:rPr>
          <w:rFonts w:hint="eastAsia"/>
          <w:sz w:val="24"/>
          <w:szCs w:val="24"/>
        </w:rPr>
        <w:t>按《防波堤与护岸设计规范》（</w:t>
      </w:r>
      <w:r>
        <w:rPr>
          <w:rFonts w:hint="eastAsia"/>
          <w:sz w:val="24"/>
          <w:szCs w:val="24"/>
        </w:rPr>
        <w:t>JTS 154</w:t>
      </w:r>
      <w:r>
        <w:rPr>
          <w:rFonts w:hint="eastAsia"/>
          <w:sz w:val="24"/>
          <w:szCs w:val="24"/>
        </w:rPr>
        <w:t>—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复核堤心石</w:t>
      </w:r>
      <w:proofErr w:type="gramEnd"/>
      <w:r>
        <w:rPr>
          <w:rFonts w:hint="eastAsia"/>
          <w:sz w:val="24"/>
          <w:szCs w:val="24"/>
        </w:rPr>
        <w:t>要求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宜为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</w:rPr>
        <w:t>～</w:t>
      </w:r>
      <w:r>
        <w:rPr>
          <w:sz w:val="24"/>
          <w:szCs w:val="24"/>
        </w:rPr>
        <w:t>300kg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同时补充含泥量要求。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</w:t>
      </w:r>
      <w:r>
        <w:rPr>
          <w:sz w:val="24"/>
          <w:szCs w:val="24"/>
        </w:rPr>
        <w:t>选用</w:t>
      </w:r>
      <w:r>
        <w:rPr>
          <w:sz w:val="24"/>
          <w:szCs w:val="24"/>
        </w:rPr>
        <w:t>1~300kg</w:t>
      </w:r>
      <w:r>
        <w:rPr>
          <w:sz w:val="24"/>
          <w:szCs w:val="24"/>
        </w:rPr>
        <w:t>开山石</w:t>
      </w:r>
      <w:r>
        <w:rPr>
          <w:rFonts w:hint="eastAsia"/>
          <w:sz w:val="24"/>
          <w:szCs w:val="24"/>
        </w:rPr>
        <w:t>，且</w:t>
      </w:r>
      <w:r>
        <w:rPr>
          <w:sz w:val="24"/>
          <w:szCs w:val="24"/>
        </w:rPr>
        <w:t>含泥量小于</w:t>
      </w:r>
      <w:r>
        <w:rPr>
          <w:sz w:val="24"/>
          <w:szCs w:val="24"/>
        </w:rPr>
        <w:t>5%</w:t>
      </w:r>
      <w:r>
        <w:rPr>
          <w:rFonts w:hint="eastAsia"/>
          <w:sz w:val="24"/>
          <w:szCs w:val="24"/>
        </w:rPr>
        <w:t>，</w:t>
      </w:r>
      <w:proofErr w:type="gramStart"/>
      <w:r>
        <w:rPr>
          <w:rFonts w:hint="eastAsia"/>
          <w:sz w:val="24"/>
          <w:szCs w:val="24"/>
        </w:rPr>
        <w:t>堤心开</w:t>
      </w:r>
      <w:proofErr w:type="gramEnd"/>
      <w:r>
        <w:rPr>
          <w:rFonts w:hint="eastAsia"/>
          <w:sz w:val="24"/>
          <w:szCs w:val="24"/>
        </w:rPr>
        <w:t>山石</w:t>
      </w:r>
      <w:r>
        <w:rPr>
          <w:rFonts w:hint="eastAsia"/>
          <w:sz w:val="24"/>
          <w:szCs w:val="24"/>
        </w:rPr>
        <w:t>1kg~10kg</w:t>
      </w:r>
      <w:r>
        <w:rPr>
          <w:rFonts w:hint="eastAsia"/>
          <w:sz w:val="24"/>
          <w:szCs w:val="24"/>
        </w:rPr>
        <w:t>的</w:t>
      </w:r>
    </w:p>
    <w:p w:rsidR="00F42D4B" w:rsidRDefault="009A0531">
      <w:pPr>
        <w:spacing w:line="44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块石含量应小于</w:t>
      </w:r>
      <w:r>
        <w:rPr>
          <w:rFonts w:hint="eastAsia"/>
          <w:sz w:val="24"/>
          <w:szCs w:val="24"/>
        </w:rPr>
        <w:t>5%</w:t>
      </w:r>
      <w:r>
        <w:rPr>
          <w:rFonts w:hint="eastAsia"/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）核实围堤工程、吹填工程是否</w:t>
      </w:r>
      <w:proofErr w:type="gramStart"/>
      <w:r>
        <w:rPr>
          <w:sz w:val="24"/>
          <w:szCs w:val="24"/>
        </w:rPr>
        <w:t>属于危大工程</w:t>
      </w:r>
      <w:proofErr w:type="gramEnd"/>
      <w:r>
        <w:rPr>
          <w:sz w:val="24"/>
          <w:szCs w:val="24"/>
        </w:rPr>
        <w:t>。</w:t>
      </w:r>
    </w:p>
    <w:p w:rsidR="00F42D4B" w:rsidRDefault="009A0531">
      <w:pPr>
        <w:pStyle w:val="20"/>
        <w:spacing w:after="0" w:line="440" w:lineRule="exact"/>
        <w:ind w:leftChars="0" w:left="0" w:firstLine="480"/>
        <w:rPr>
          <w:sz w:val="24"/>
        </w:rPr>
      </w:pPr>
      <w:r>
        <w:rPr>
          <w:rFonts w:hint="eastAsia"/>
          <w:sz w:val="24"/>
        </w:rPr>
        <w:t>回复：不属于。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补充说明本项目所含分册内容</w:t>
      </w:r>
      <w:r>
        <w:rPr>
          <w:sz w:val="24"/>
          <w:szCs w:val="24"/>
        </w:rPr>
        <w:t>。</w:t>
      </w:r>
    </w:p>
    <w:p w:rsidR="00F42D4B" w:rsidRDefault="009A0531">
      <w:pPr>
        <w:pStyle w:val="20"/>
        <w:spacing w:after="0" w:line="440" w:lineRule="exact"/>
        <w:ind w:leftChars="0" w:left="0" w:firstLine="480"/>
        <w:rPr>
          <w:sz w:val="24"/>
        </w:rPr>
      </w:pPr>
      <w:r>
        <w:rPr>
          <w:rFonts w:hint="eastAsia"/>
          <w:sz w:val="24"/>
        </w:rPr>
        <w:t>回复：已完善。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建议核实工程名称</w:t>
      </w:r>
      <w:r>
        <w:rPr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回复：</w:t>
      </w:r>
      <w:r>
        <w:rPr>
          <w:rFonts w:hint="eastAsia"/>
          <w:color w:val="000000" w:themeColor="text1"/>
          <w:kern w:val="0"/>
          <w:sz w:val="24"/>
          <w:szCs w:val="24"/>
        </w:rPr>
        <w:t>已统一工程名称《防城港企沙港区赤沙仓储物流园项目水运工程建设项目初步</w:t>
      </w:r>
      <w:r>
        <w:rPr>
          <w:rFonts w:hint="eastAsia"/>
          <w:sz w:val="24"/>
          <w:szCs w:val="24"/>
        </w:rPr>
        <w:t>设计</w:t>
      </w:r>
      <w:r>
        <w:rPr>
          <w:rFonts w:hint="eastAsia"/>
          <w:color w:val="000000" w:themeColor="text1"/>
          <w:kern w:val="0"/>
          <w:sz w:val="24"/>
          <w:szCs w:val="24"/>
        </w:rPr>
        <w:t>》。</w:t>
      </w:r>
    </w:p>
    <w:p w:rsidR="00F42D4B" w:rsidRDefault="009A0531">
      <w:pPr>
        <w:spacing w:line="440" w:lineRule="exact"/>
        <w:ind w:firstLineChars="200" w:firstLine="482"/>
        <w:outlineLvl w:val="2"/>
        <w:rPr>
          <w:b/>
          <w:sz w:val="24"/>
          <w:szCs w:val="24"/>
        </w:rPr>
      </w:pPr>
      <w:bookmarkStart w:id="1" w:name="_Toc736"/>
      <w:r>
        <w:rPr>
          <w:b/>
          <w:sz w:val="24"/>
          <w:szCs w:val="24"/>
        </w:rPr>
        <w:t>第二册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总平面</w:t>
      </w:r>
      <w:bookmarkEnd w:id="1"/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设计说明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2.2</w:t>
      </w:r>
      <w:r>
        <w:rPr>
          <w:rFonts w:hint="eastAsia"/>
          <w:sz w:val="24"/>
          <w:szCs w:val="24"/>
        </w:rPr>
        <w:t>中建设规模与“第一册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总体”表述不一致，请核实。</w:t>
      </w:r>
    </w:p>
    <w:p w:rsidR="00F42D4B" w:rsidRDefault="009A0531">
      <w:pPr>
        <w:pStyle w:val="20"/>
        <w:spacing w:after="0" w:line="440" w:lineRule="exact"/>
        <w:ind w:leftChars="0" w:left="0" w:firstLine="480"/>
        <w:rPr>
          <w:sz w:val="24"/>
        </w:rPr>
      </w:pPr>
      <w:r>
        <w:rPr>
          <w:rFonts w:hint="eastAsia"/>
          <w:sz w:val="24"/>
        </w:rPr>
        <w:t>回复：已修改统一项目建设规模：防城港市企沙港区</w:t>
      </w:r>
      <w:proofErr w:type="gramStart"/>
      <w:r>
        <w:rPr>
          <w:rFonts w:hint="eastAsia"/>
          <w:sz w:val="24"/>
        </w:rPr>
        <w:t>赤</w:t>
      </w:r>
      <w:proofErr w:type="gramEnd"/>
      <w:r>
        <w:rPr>
          <w:rFonts w:hint="eastAsia"/>
          <w:sz w:val="24"/>
        </w:rPr>
        <w:t>沙仓储</w:t>
      </w:r>
      <w:proofErr w:type="gramStart"/>
      <w:r>
        <w:rPr>
          <w:rFonts w:hint="eastAsia"/>
          <w:sz w:val="24"/>
        </w:rPr>
        <w:t>物流园</w:t>
      </w:r>
      <w:proofErr w:type="gramEnd"/>
      <w:r>
        <w:rPr>
          <w:rFonts w:hint="eastAsia"/>
          <w:sz w:val="24"/>
        </w:rPr>
        <w:t>项目水运工程建设项目陆域形成面积约</w:t>
      </w:r>
      <w:r>
        <w:rPr>
          <w:rFonts w:hint="eastAsia"/>
          <w:sz w:val="24"/>
        </w:rPr>
        <w:t>32.54</w:t>
      </w:r>
      <w:r>
        <w:rPr>
          <w:rFonts w:hint="eastAsia"/>
          <w:sz w:val="24"/>
        </w:rPr>
        <w:t>万</w:t>
      </w:r>
      <w:r>
        <w:rPr>
          <w:rFonts w:hint="eastAsia"/>
          <w:sz w:val="24"/>
        </w:rPr>
        <w:t>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，其中Ⅰ区为</w:t>
      </w:r>
      <w:r>
        <w:rPr>
          <w:rFonts w:hint="eastAsia"/>
          <w:sz w:val="24"/>
        </w:rPr>
        <w:t>20.21</w:t>
      </w:r>
      <w:r>
        <w:rPr>
          <w:rFonts w:hint="eastAsia"/>
          <w:sz w:val="24"/>
        </w:rPr>
        <w:t>万</w:t>
      </w:r>
      <w:r>
        <w:rPr>
          <w:rFonts w:hint="eastAsia"/>
          <w:sz w:val="24"/>
        </w:rPr>
        <w:t>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，Ⅱ区为</w:t>
      </w:r>
      <w:r>
        <w:rPr>
          <w:rFonts w:hint="eastAsia"/>
          <w:sz w:val="24"/>
        </w:rPr>
        <w:t xml:space="preserve"> 12.33</w:t>
      </w:r>
      <w:r w:rsidR="00CF215A">
        <w:rPr>
          <w:rFonts w:hint="eastAsia"/>
          <w:sz w:val="24"/>
        </w:rPr>
        <w:t>万</w:t>
      </w:r>
      <w:r>
        <w:rPr>
          <w:rFonts w:hint="eastAsia"/>
          <w:sz w:val="24"/>
        </w:rPr>
        <w:t>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。护岸总长度</w:t>
      </w:r>
      <w:r>
        <w:rPr>
          <w:rFonts w:hint="eastAsia"/>
          <w:sz w:val="24"/>
        </w:rPr>
        <w:t>2117.90m</w:t>
      </w:r>
      <w:r>
        <w:rPr>
          <w:rFonts w:hint="eastAsia"/>
          <w:sz w:val="24"/>
        </w:rPr>
        <w:t>，其中西侧永久护岸</w:t>
      </w:r>
      <w:r>
        <w:rPr>
          <w:rFonts w:hint="eastAsia"/>
          <w:sz w:val="24"/>
        </w:rPr>
        <w:t>1688.00m</w:t>
      </w:r>
      <w:r>
        <w:rPr>
          <w:rFonts w:hint="eastAsia"/>
          <w:sz w:val="24"/>
        </w:rPr>
        <w:t>，南侧临时护岸</w:t>
      </w:r>
      <w:r>
        <w:rPr>
          <w:rFonts w:hint="eastAsia"/>
          <w:sz w:val="24"/>
        </w:rPr>
        <w:t>213.51m</w:t>
      </w:r>
      <w:r>
        <w:rPr>
          <w:rFonts w:hint="eastAsia"/>
          <w:sz w:val="24"/>
        </w:rPr>
        <w:t>，北侧临时护岸</w:t>
      </w:r>
      <w:r>
        <w:rPr>
          <w:rFonts w:hint="eastAsia"/>
          <w:sz w:val="24"/>
        </w:rPr>
        <w:t>216.39m</w:t>
      </w:r>
      <w:r>
        <w:rPr>
          <w:rFonts w:hint="eastAsia"/>
          <w:sz w:val="24"/>
        </w:rPr>
        <w:t>。陆域回填需土方量约</w:t>
      </w:r>
      <w:r>
        <w:rPr>
          <w:rFonts w:hint="eastAsia"/>
          <w:sz w:val="24"/>
        </w:rPr>
        <w:t>162.61</w:t>
      </w:r>
      <w:r>
        <w:rPr>
          <w:rFonts w:hint="eastAsia"/>
          <w:sz w:val="24"/>
        </w:rPr>
        <w:t>万</w:t>
      </w:r>
      <w:r>
        <w:rPr>
          <w:rFonts w:hint="eastAsia"/>
          <w:sz w:val="24"/>
        </w:rPr>
        <w:t>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）</w:t>
      </w:r>
      <w:r>
        <w:rPr>
          <w:sz w:val="24"/>
          <w:szCs w:val="24"/>
        </w:rPr>
        <w:t>4.2</w:t>
      </w:r>
      <w:r>
        <w:rPr>
          <w:sz w:val="24"/>
          <w:szCs w:val="24"/>
        </w:rPr>
        <w:t>中，施工坐标系统采用</w:t>
      </w:r>
      <w:r>
        <w:rPr>
          <w:sz w:val="24"/>
          <w:szCs w:val="24"/>
        </w:rPr>
        <w:t>2000</w:t>
      </w:r>
      <w:r>
        <w:rPr>
          <w:sz w:val="24"/>
          <w:szCs w:val="24"/>
        </w:rPr>
        <w:t>国家大地坐标系，而图纸为</w:t>
      </w:r>
      <w:r>
        <w:rPr>
          <w:sz w:val="24"/>
          <w:szCs w:val="24"/>
        </w:rPr>
        <w:t>1954</w:t>
      </w:r>
      <w:r>
        <w:rPr>
          <w:sz w:val="24"/>
          <w:szCs w:val="24"/>
        </w:rPr>
        <w:t>坐标系，建议复核统一。</w:t>
      </w:r>
    </w:p>
    <w:p w:rsidR="00F42D4B" w:rsidRDefault="009A0531">
      <w:pPr>
        <w:pStyle w:val="20"/>
        <w:spacing w:after="0" w:line="440" w:lineRule="exact"/>
        <w:ind w:leftChars="0" w:left="0" w:firstLine="480"/>
        <w:rPr>
          <w:sz w:val="24"/>
        </w:rPr>
      </w:pPr>
      <w:r>
        <w:rPr>
          <w:rFonts w:hint="eastAsia"/>
          <w:sz w:val="24"/>
        </w:rPr>
        <w:t>回复：已在总平面布置图中</w:t>
      </w:r>
      <w:bookmarkStart w:id="2" w:name="_GoBack"/>
      <w:bookmarkEnd w:id="2"/>
      <w:r>
        <w:rPr>
          <w:rFonts w:hint="eastAsia"/>
          <w:sz w:val="24"/>
        </w:rPr>
        <w:t>，补充</w:t>
      </w:r>
      <w:r>
        <w:rPr>
          <w:sz w:val="24"/>
        </w:rPr>
        <w:t>2000</w:t>
      </w:r>
      <w:r>
        <w:rPr>
          <w:sz w:val="24"/>
        </w:rPr>
        <w:t>国家大地坐标系</w:t>
      </w:r>
      <w:r>
        <w:rPr>
          <w:rFonts w:hint="eastAsia"/>
          <w:sz w:val="24"/>
        </w:rPr>
        <w:t>下的控制点坐标。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设计图纸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lastRenderedPageBreak/>
        <w:t>（</w:t>
      </w:r>
      <w:r>
        <w:rPr>
          <w:sz w:val="24"/>
          <w:szCs w:val="24"/>
        </w:rPr>
        <w:t>1</w:t>
      </w:r>
      <w:r>
        <w:rPr>
          <w:sz w:val="24"/>
          <w:szCs w:val="24"/>
        </w:rPr>
        <w:t>）本项目测图时间较久，建议复测地形</w:t>
      </w:r>
      <w:r>
        <w:rPr>
          <w:rFonts w:hint="eastAsia"/>
          <w:sz w:val="24"/>
          <w:szCs w:val="24"/>
        </w:rPr>
        <w:t>。</w:t>
      </w:r>
    </w:p>
    <w:p w:rsidR="00F42D4B" w:rsidRDefault="009A0531">
      <w:pPr>
        <w:pStyle w:val="20"/>
        <w:spacing w:after="0" w:line="440" w:lineRule="exact"/>
        <w:ind w:leftChars="0" w:left="0" w:firstLine="480"/>
        <w:rPr>
          <w:sz w:val="24"/>
        </w:rPr>
      </w:pPr>
      <w:r>
        <w:rPr>
          <w:rFonts w:hint="eastAsia"/>
          <w:sz w:val="24"/>
        </w:rPr>
        <w:t>回复：</w:t>
      </w:r>
      <w:r>
        <w:rPr>
          <w:rFonts w:hint="eastAsia"/>
          <w:kern w:val="0"/>
          <w:sz w:val="24"/>
        </w:rPr>
        <w:t>据业主回复，项目处地形近几年未发生明显变动，沿用原地形图。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核实总</w:t>
      </w:r>
      <w:proofErr w:type="gramEnd"/>
      <w:r>
        <w:rPr>
          <w:rFonts w:hint="eastAsia"/>
          <w:sz w:val="24"/>
          <w:szCs w:val="24"/>
        </w:rPr>
        <w:t>平面布置图中转角位置的表示是否有误。</w:t>
      </w:r>
    </w:p>
    <w:p w:rsidR="00F42D4B" w:rsidRDefault="009A0531">
      <w:pPr>
        <w:pStyle w:val="20"/>
        <w:spacing w:after="0" w:line="440" w:lineRule="exact"/>
        <w:ind w:leftChars="0" w:left="0" w:firstLine="480"/>
        <w:rPr>
          <w:sz w:val="24"/>
        </w:rPr>
      </w:pPr>
      <w:r>
        <w:rPr>
          <w:rFonts w:hint="eastAsia"/>
          <w:sz w:val="24"/>
        </w:rPr>
        <w:t>回复：已核实。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sz w:val="24"/>
          <w:szCs w:val="24"/>
        </w:rPr>
        <w:t>）北侧护岸、南侧护岸从回填完成后是否与已有</w:t>
      </w:r>
      <w:r>
        <w:rPr>
          <w:rFonts w:hint="eastAsia"/>
          <w:sz w:val="24"/>
          <w:szCs w:val="24"/>
        </w:rPr>
        <w:t>钢铁基地、电厂护岸</w:t>
      </w:r>
      <w:r>
        <w:rPr>
          <w:sz w:val="24"/>
          <w:szCs w:val="24"/>
        </w:rPr>
        <w:t>间形成天然沟渠，建议核实此处排水问题以及坡脚的防护</w:t>
      </w:r>
      <w:r>
        <w:rPr>
          <w:rFonts w:hint="eastAsia"/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</w:rPr>
        <w:t>回复：南北</w:t>
      </w:r>
      <w:proofErr w:type="gramStart"/>
      <w:r>
        <w:rPr>
          <w:rFonts w:hint="eastAsia"/>
          <w:sz w:val="24"/>
        </w:rPr>
        <w:t>侧临</w:t>
      </w:r>
      <w:r>
        <w:rPr>
          <w:rFonts w:hint="eastAsia"/>
          <w:sz w:val="24"/>
          <w:szCs w:val="24"/>
        </w:rPr>
        <w:t>时</w:t>
      </w:r>
      <w:proofErr w:type="gramEnd"/>
      <w:r>
        <w:rPr>
          <w:rFonts w:hint="eastAsia"/>
          <w:sz w:val="24"/>
          <w:szCs w:val="24"/>
        </w:rPr>
        <w:t>护岸，采用</w:t>
      </w:r>
      <w:proofErr w:type="gramStart"/>
      <w:r>
        <w:rPr>
          <w:rFonts w:hint="eastAsia"/>
          <w:sz w:val="24"/>
          <w:szCs w:val="24"/>
        </w:rPr>
        <w:t>浆砌块石护面</w:t>
      </w:r>
      <w:proofErr w:type="gramEnd"/>
      <w:r>
        <w:rPr>
          <w:rFonts w:hint="eastAsia"/>
          <w:sz w:val="24"/>
          <w:szCs w:val="24"/>
        </w:rPr>
        <w:t>，坡脚采用≥</w:t>
      </w:r>
      <w:r>
        <w:rPr>
          <w:rFonts w:hint="eastAsia"/>
          <w:sz w:val="24"/>
          <w:szCs w:val="24"/>
        </w:rPr>
        <w:t>150kg</w:t>
      </w:r>
      <w:r>
        <w:rPr>
          <w:rFonts w:hint="eastAsia"/>
          <w:sz w:val="24"/>
          <w:szCs w:val="24"/>
        </w:rPr>
        <w:t>块石护底。</w:t>
      </w:r>
    </w:p>
    <w:p w:rsidR="00F42D4B" w:rsidRDefault="009A0531">
      <w:pPr>
        <w:spacing w:line="440" w:lineRule="exact"/>
        <w:ind w:firstLineChars="200" w:firstLine="480"/>
        <w:rPr>
          <w:sz w:val="24"/>
        </w:rPr>
      </w:pPr>
      <w:bookmarkStart w:id="3" w:name="_Toc31458"/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）建议</w:t>
      </w:r>
      <w:proofErr w:type="gramStart"/>
      <w:r>
        <w:rPr>
          <w:rFonts w:hint="eastAsia"/>
          <w:sz w:val="24"/>
        </w:rPr>
        <w:t>在总平图中</w:t>
      </w:r>
      <w:proofErr w:type="gramEnd"/>
      <w:r>
        <w:rPr>
          <w:rFonts w:hint="eastAsia"/>
          <w:sz w:val="24"/>
        </w:rPr>
        <w:t>标识南北侧用地红线。</w:t>
      </w:r>
    </w:p>
    <w:p w:rsidR="00F42D4B" w:rsidRDefault="009A053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回复：已增加南北侧用地红线。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建议核实工程名称</w:t>
      </w:r>
      <w:r>
        <w:rPr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</w:pPr>
      <w:r>
        <w:rPr>
          <w:rFonts w:hint="eastAsia"/>
          <w:sz w:val="24"/>
        </w:rPr>
        <w:t>回复：已统一项目名称。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）建议核实</w:t>
      </w:r>
      <w:r>
        <w:rPr>
          <w:rFonts w:hint="eastAsia"/>
          <w:sz w:val="24"/>
        </w:rPr>
        <w:t>排水</w:t>
      </w:r>
      <w:r>
        <w:rPr>
          <w:rFonts w:hint="eastAsia"/>
          <w:sz w:val="24"/>
          <w:szCs w:val="24"/>
        </w:rPr>
        <w:t>口数量是否满足排水要求，建议补充排水口平面定位。</w:t>
      </w:r>
    </w:p>
    <w:p w:rsidR="00F42D4B" w:rsidRDefault="009A0531" w:rsidP="00830FDE">
      <w:pPr>
        <w:spacing w:line="440" w:lineRule="exact"/>
        <w:ind w:leftChars="200" w:left="560"/>
        <w:rPr>
          <w:sz w:val="24"/>
          <w:szCs w:val="24"/>
        </w:rPr>
      </w:pPr>
      <w:r>
        <w:rPr>
          <w:rFonts w:hint="eastAsia"/>
          <w:sz w:val="24"/>
          <w:szCs w:val="24"/>
        </w:rPr>
        <w:t>回复：已</w:t>
      </w:r>
      <w:proofErr w:type="gramStart"/>
      <w:r>
        <w:rPr>
          <w:rFonts w:hint="eastAsia"/>
          <w:sz w:val="24"/>
          <w:szCs w:val="24"/>
        </w:rPr>
        <w:t>核实共</w:t>
      </w:r>
      <w:proofErr w:type="gramEnd"/>
      <w:r>
        <w:rPr>
          <w:rFonts w:hint="eastAsia"/>
          <w:sz w:val="24"/>
          <w:szCs w:val="24"/>
        </w:rPr>
        <w:t>设置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个排水口，排水口位置详见总平面布置图，分别为</w:t>
      </w:r>
    </w:p>
    <w:p w:rsidR="00F42D4B" w:rsidRDefault="009A0531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K0+150.00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K0+350.00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K0+670.00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K1+020.00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K1+100.00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K1+420.00</w:t>
      </w:r>
      <w:r>
        <w:rPr>
          <w:rFonts w:hint="eastAsia"/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2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第四册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陆域形成</w:t>
      </w:r>
      <w:bookmarkEnd w:id="3"/>
    </w:p>
    <w:p w:rsidR="00F42D4B" w:rsidRDefault="009A0531">
      <w:pPr>
        <w:spacing w:line="440" w:lineRule="exact"/>
        <w:ind w:firstLineChars="200" w:firstLine="480"/>
        <w:rPr>
          <w:rFonts w:eastAsia="Times New Roman"/>
          <w:b/>
          <w:kern w:val="28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设计说明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1.1.2</w:t>
      </w:r>
      <w:r>
        <w:rPr>
          <w:rFonts w:hint="eastAsia"/>
          <w:sz w:val="24"/>
          <w:szCs w:val="24"/>
        </w:rPr>
        <w:t>建议核实《广西壮族自治区海洋功能区划（</w:t>
      </w:r>
      <w:r>
        <w:rPr>
          <w:rFonts w:hint="eastAsia"/>
          <w:sz w:val="24"/>
          <w:szCs w:val="24"/>
        </w:rPr>
        <w:t>2011-2020</w:t>
      </w:r>
      <w:r>
        <w:rPr>
          <w:rFonts w:hint="eastAsia"/>
          <w:sz w:val="24"/>
          <w:szCs w:val="24"/>
        </w:rPr>
        <w:t>年）》</w:t>
      </w:r>
      <w:r>
        <w:rPr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回复：《广西壮族自治区海洋功能区划（</w:t>
      </w:r>
      <w:r>
        <w:rPr>
          <w:rFonts w:hint="eastAsia"/>
          <w:sz w:val="24"/>
        </w:rPr>
        <w:t>2011-2020</w:t>
      </w:r>
      <w:r>
        <w:rPr>
          <w:rFonts w:hint="eastAsia"/>
          <w:sz w:val="24"/>
        </w:rPr>
        <w:t>年）》仍在沿用，保留。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护堤土与回填开山</w:t>
      </w:r>
      <w:proofErr w:type="gramStart"/>
      <w:r>
        <w:rPr>
          <w:rFonts w:hint="eastAsia"/>
          <w:sz w:val="24"/>
          <w:szCs w:val="24"/>
        </w:rPr>
        <w:t>土指标</w:t>
      </w:r>
      <w:proofErr w:type="gramEnd"/>
      <w:r>
        <w:rPr>
          <w:rFonts w:hint="eastAsia"/>
          <w:sz w:val="24"/>
          <w:szCs w:val="24"/>
        </w:rPr>
        <w:t>是否不一，补充二者指标</w:t>
      </w:r>
      <w:r>
        <w:rPr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回复：一致。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1.2 </w:t>
      </w:r>
      <w:r>
        <w:rPr>
          <w:rFonts w:hint="eastAsia"/>
          <w:sz w:val="24"/>
          <w:szCs w:val="24"/>
        </w:rPr>
        <w:t>中护岸长度等描述与总体不一致，建议核实。</w:t>
      </w:r>
    </w:p>
    <w:p w:rsidR="00F42D4B" w:rsidRDefault="009A053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回复：已修改统一。防城港市企沙港区</w:t>
      </w:r>
      <w:proofErr w:type="gramStart"/>
      <w:r>
        <w:rPr>
          <w:rFonts w:hint="eastAsia"/>
          <w:sz w:val="24"/>
        </w:rPr>
        <w:t>赤</w:t>
      </w:r>
      <w:proofErr w:type="gramEnd"/>
      <w:r>
        <w:rPr>
          <w:rFonts w:hint="eastAsia"/>
          <w:sz w:val="24"/>
        </w:rPr>
        <w:t>沙仓储</w:t>
      </w:r>
      <w:proofErr w:type="gramStart"/>
      <w:r>
        <w:rPr>
          <w:rFonts w:hint="eastAsia"/>
          <w:sz w:val="24"/>
        </w:rPr>
        <w:t>物流园</w:t>
      </w:r>
      <w:proofErr w:type="gramEnd"/>
      <w:r>
        <w:rPr>
          <w:rFonts w:hint="eastAsia"/>
          <w:sz w:val="24"/>
        </w:rPr>
        <w:t>项目水运工程建设项目建设护岸长</w:t>
      </w:r>
      <w:r>
        <w:rPr>
          <w:rFonts w:hint="eastAsia"/>
          <w:sz w:val="24"/>
        </w:rPr>
        <w:t>2117.90m</w:t>
      </w:r>
      <w:r>
        <w:rPr>
          <w:rFonts w:hint="eastAsia"/>
          <w:sz w:val="24"/>
        </w:rPr>
        <w:t>；陆域形成总面积约</w:t>
      </w:r>
      <w:r>
        <w:rPr>
          <w:rFonts w:hint="eastAsia"/>
          <w:sz w:val="24"/>
        </w:rPr>
        <w:t>32.54</w:t>
      </w:r>
      <w:r>
        <w:rPr>
          <w:rFonts w:hint="eastAsia"/>
          <w:sz w:val="24"/>
        </w:rPr>
        <w:t>万</w:t>
      </w:r>
      <w:r>
        <w:rPr>
          <w:rFonts w:hint="eastAsia"/>
          <w:sz w:val="24"/>
        </w:rPr>
        <w:t>m</w:t>
      </w:r>
      <w:r>
        <w:rPr>
          <w:rFonts w:hint="eastAsia"/>
          <w:sz w:val="24"/>
          <w:vertAlign w:val="superscript"/>
        </w:rPr>
        <w:t>2</w:t>
      </w:r>
      <w:r>
        <w:rPr>
          <w:rFonts w:hint="eastAsia"/>
          <w:sz w:val="24"/>
        </w:rPr>
        <w:t>，需回填土方量约</w:t>
      </w:r>
      <w:r>
        <w:rPr>
          <w:rFonts w:hint="eastAsia"/>
          <w:sz w:val="24"/>
        </w:rPr>
        <w:t>162.61</w:t>
      </w:r>
      <w:r>
        <w:rPr>
          <w:rFonts w:hint="eastAsia"/>
          <w:sz w:val="24"/>
        </w:rPr>
        <w:t>万</w:t>
      </w:r>
      <w:r>
        <w:rPr>
          <w:rFonts w:hint="eastAsia"/>
          <w:sz w:val="24"/>
        </w:rPr>
        <w:t>m</w:t>
      </w:r>
      <w:r>
        <w:rPr>
          <w:rFonts w:hint="eastAsia"/>
          <w:sz w:val="24"/>
          <w:vertAlign w:val="superscript"/>
        </w:rPr>
        <w:t>3</w:t>
      </w:r>
      <w:r>
        <w:rPr>
          <w:rFonts w:hint="eastAsia"/>
          <w:sz w:val="24"/>
        </w:rPr>
        <w:t>。</w:t>
      </w:r>
    </w:p>
    <w:p w:rsidR="00F42D4B" w:rsidRDefault="009A0531">
      <w:pPr>
        <w:numPr>
          <w:ilvl w:val="0"/>
          <w:numId w:val="2"/>
        </w:num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设计图纸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核实总</w:t>
      </w:r>
      <w:proofErr w:type="gramEnd"/>
      <w:r>
        <w:rPr>
          <w:rFonts w:hint="eastAsia"/>
          <w:sz w:val="24"/>
          <w:szCs w:val="24"/>
        </w:rPr>
        <w:t>平面布置图中转角位置的表示是否有误</w:t>
      </w:r>
      <w:r>
        <w:rPr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回复：已核实。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）图中网格数字方向与图面倒置，字体大小不一，建议调整美化图面。</w:t>
      </w:r>
    </w:p>
    <w:p w:rsidR="00F42D4B" w:rsidRDefault="009A0531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回复：已调整。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）建议控制点坐标增加</w:t>
      </w:r>
      <w:r>
        <w:rPr>
          <w:rFonts w:hint="eastAsia"/>
          <w:sz w:val="24"/>
          <w:szCs w:val="24"/>
        </w:rPr>
        <w:t>2000</w:t>
      </w:r>
      <w:r>
        <w:rPr>
          <w:rFonts w:hint="eastAsia"/>
          <w:sz w:val="24"/>
          <w:szCs w:val="24"/>
        </w:rPr>
        <w:t>坐标系坐标。</w:t>
      </w:r>
    </w:p>
    <w:p w:rsidR="00F42D4B" w:rsidRDefault="009A0531">
      <w:pPr>
        <w:spacing w:line="440" w:lineRule="exact"/>
        <w:ind w:firstLineChars="200" w:firstLine="480"/>
      </w:pPr>
      <w:r>
        <w:rPr>
          <w:rFonts w:hint="eastAsia"/>
          <w:sz w:val="24"/>
        </w:rPr>
        <w:t>回复：同意增加</w:t>
      </w:r>
      <w:r>
        <w:rPr>
          <w:rFonts w:hint="eastAsia"/>
          <w:sz w:val="24"/>
        </w:rPr>
        <w:t>2000</w:t>
      </w:r>
      <w:r>
        <w:rPr>
          <w:rFonts w:hint="eastAsia"/>
          <w:sz w:val="24"/>
        </w:rPr>
        <w:t>坐标系坐标。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）建议</w:t>
      </w:r>
      <w:proofErr w:type="gramStart"/>
      <w:r>
        <w:rPr>
          <w:rFonts w:hint="eastAsia"/>
          <w:sz w:val="24"/>
          <w:szCs w:val="24"/>
        </w:rPr>
        <w:t>在总平图中</w:t>
      </w:r>
      <w:proofErr w:type="gramEnd"/>
      <w:r>
        <w:rPr>
          <w:rFonts w:hint="eastAsia"/>
          <w:sz w:val="24"/>
          <w:szCs w:val="24"/>
        </w:rPr>
        <w:t>标识南北侧用地红线。</w:t>
      </w:r>
    </w:p>
    <w:p w:rsidR="00F42D4B" w:rsidRDefault="009A0531">
      <w:pPr>
        <w:spacing w:line="440" w:lineRule="exact"/>
        <w:ind w:firstLineChars="200" w:firstLine="480"/>
      </w:pPr>
      <w:r>
        <w:rPr>
          <w:rFonts w:hint="eastAsia"/>
          <w:sz w:val="24"/>
        </w:rPr>
        <w:t>回复：同意增加总平面图中南北侧用地红线。</w:t>
      </w:r>
    </w:p>
    <w:p w:rsidR="00F42D4B" w:rsidRDefault="009A0531">
      <w:pPr>
        <w:spacing w:line="440" w:lineRule="exact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建议核实工程名称</w:t>
      </w:r>
      <w:r>
        <w:rPr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</w:pPr>
      <w:r>
        <w:rPr>
          <w:rFonts w:hint="eastAsia"/>
          <w:sz w:val="24"/>
        </w:rPr>
        <w:t>回复：已统一工程名称。</w:t>
      </w:r>
    </w:p>
    <w:p w:rsidR="00F42D4B" w:rsidRDefault="009A0531">
      <w:pPr>
        <w:spacing w:line="440" w:lineRule="exact"/>
        <w:ind w:firstLineChars="200" w:firstLine="482"/>
        <w:outlineLvl w:val="2"/>
        <w:rPr>
          <w:b/>
          <w:sz w:val="24"/>
          <w:szCs w:val="24"/>
        </w:rPr>
      </w:pPr>
      <w:bookmarkStart w:id="4" w:name="_Toc21150"/>
      <w:r>
        <w:rPr>
          <w:b/>
          <w:sz w:val="24"/>
          <w:szCs w:val="24"/>
        </w:rPr>
        <w:t>第</w:t>
      </w:r>
      <w:r>
        <w:rPr>
          <w:rFonts w:hint="eastAsia"/>
          <w:b/>
          <w:sz w:val="24"/>
          <w:szCs w:val="24"/>
        </w:rPr>
        <w:t>六</w:t>
      </w:r>
      <w:r>
        <w:rPr>
          <w:b/>
          <w:sz w:val="24"/>
          <w:szCs w:val="24"/>
        </w:rPr>
        <w:t>册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水工建筑物</w:t>
      </w:r>
      <w:bookmarkEnd w:id="4"/>
    </w:p>
    <w:p w:rsidR="00F42D4B" w:rsidRDefault="009A0531">
      <w:pPr>
        <w:spacing w:line="440" w:lineRule="exact"/>
        <w:ind w:firstLineChars="200" w:firstLine="480"/>
        <w:rPr>
          <w:rFonts w:eastAsia="Times New Roman"/>
          <w:b/>
          <w:kern w:val="28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设计说明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1.2</w:t>
      </w:r>
      <w:r>
        <w:rPr>
          <w:rFonts w:hint="eastAsia"/>
          <w:sz w:val="24"/>
          <w:szCs w:val="24"/>
        </w:rPr>
        <w:t>中建议根据《防波堤与护岸设计规范》（</w:t>
      </w:r>
      <w:r>
        <w:rPr>
          <w:rFonts w:hint="eastAsia"/>
          <w:sz w:val="24"/>
          <w:szCs w:val="24"/>
        </w:rPr>
        <w:t>JTS 154</w:t>
      </w:r>
      <w:r>
        <w:rPr>
          <w:rFonts w:hint="eastAsia"/>
          <w:sz w:val="24"/>
          <w:szCs w:val="24"/>
        </w:rPr>
        <w:t>—</w:t>
      </w:r>
      <w:r>
        <w:rPr>
          <w:rFonts w:hint="eastAsia"/>
          <w:sz w:val="24"/>
          <w:szCs w:val="24"/>
        </w:rPr>
        <w:t>2018</w:t>
      </w:r>
      <w:r>
        <w:rPr>
          <w:rFonts w:hint="eastAsia"/>
          <w:sz w:val="24"/>
          <w:szCs w:val="24"/>
        </w:rPr>
        <w:t>）复核永久护岸、临时护岸安全等级及设计使用年限。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回复：已完善。永久护岸：建筑物结构安全等级为Ⅱ级，设计使用年限为</w:t>
      </w:r>
      <w:r>
        <w:rPr>
          <w:rFonts w:hint="eastAsia"/>
          <w:sz w:val="24"/>
          <w:szCs w:val="24"/>
        </w:rPr>
        <w:t>50</w:t>
      </w:r>
      <w:r>
        <w:rPr>
          <w:rFonts w:hint="eastAsia"/>
          <w:sz w:val="24"/>
          <w:szCs w:val="24"/>
        </w:rPr>
        <w:t>年。临时护岸：建筑物结构安全等级为Ⅲ级，设计使用年限为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年。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1.3</w:t>
      </w:r>
      <w:r>
        <w:rPr>
          <w:rFonts w:hint="eastAsia"/>
          <w:sz w:val="24"/>
          <w:szCs w:val="24"/>
        </w:rPr>
        <w:t>设计依据中部分内容重复，请删除。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回复：同意删除。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3.3</w:t>
      </w:r>
      <w:r>
        <w:rPr>
          <w:rFonts w:hint="eastAsia"/>
          <w:sz w:val="24"/>
          <w:szCs w:val="24"/>
        </w:rPr>
        <w:t>中胸墙计算说明中，本项目不符合全掩护的型式，请核实。</w:t>
      </w:r>
    </w:p>
    <w:p w:rsidR="00F42D4B" w:rsidRDefault="009A0531">
      <w:pPr>
        <w:spacing w:line="440" w:lineRule="exact"/>
        <w:ind w:firstLineChars="200" w:firstLine="480"/>
        <w:jc w:val="left"/>
      </w:pPr>
      <w:r>
        <w:rPr>
          <w:rFonts w:hint="eastAsia"/>
          <w:sz w:val="24"/>
          <w:szCs w:val="24"/>
        </w:rPr>
        <w:t>回复：已修改。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）第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章耐久性设计，本项目挡墙为素</w:t>
      </w:r>
      <w:proofErr w:type="gramStart"/>
      <w:r>
        <w:rPr>
          <w:rFonts w:hint="eastAsia"/>
          <w:sz w:val="24"/>
          <w:szCs w:val="24"/>
        </w:rPr>
        <w:t>砼</w:t>
      </w:r>
      <w:proofErr w:type="gramEnd"/>
      <w:r>
        <w:rPr>
          <w:rFonts w:hint="eastAsia"/>
          <w:sz w:val="24"/>
          <w:szCs w:val="24"/>
        </w:rPr>
        <w:t>，删除钢筋保护层内容。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回复：已删除钢筋保护层相关内容。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补充挡墙应力计算成果。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回复：已补充，详见</w:t>
      </w:r>
      <w:bookmarkStart w:id="5" w:name="_Toc604"/>
      <w:r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3.3</w:t>
      </w:r>
      <w:r>
        <w:rPr>
          <w:rFonts w:hint="eastAsia"/>
          <w:sz w:val="24"/>
          <w:szCs w:val="24"/>
        </w:rPr>
        <w:t>挡浪墙稳定计算”</w:t>
      </w:r>
      <w:bookmarkEnd w:id="5"/>
      <w:r>
        <w:rPr>
          <w:rFonts w:hint="eastAsia"/>
          <w:sz w:val="24"/>
          <w:szCs w:val="24"/>
        </w:rPr>
        <w:t>章节。</w:t>
      </w:r>
    </w:p>
    <w:p w:rsidR="00F42D4B" w:rsidRDefault="009A0531">
      <w:pPr>
        <w:spacing w:line="440" w:lineRule="exact"/>
        <w:ind w:firstLineChars="200" w:firstLine="480"/>
        <w:rPr>
          <w:rFonts w:eastAsia="Times New Roman"/>
          <w:b/>
          <w:kern w:val="28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设计</w:t>
      </w:r>
      <w:r>
        <w:rPr>
          <w:rFonts w:hint="eastAsia"/>
          <w:sz w:val="24"/>
          <w:szCs w:val="24"/>
        </w:rPr>
        <w:t>图纸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）核实《护岸平面布置图（</w:t>
      </w:r>
      <w:r>
        <w:rPr>
          <w:rFonts w:hint="eastAsia"/>
          <w:sz w:val="24"/>
          <w:szCs w:val="24"/>
        </w:rPr>
        <w:t>1/4</w:t>
      </w:r>
      <w:r>
        <w:rPr>
          <w:rFonts w:hint="eastAsia"/>
          <w:sz w:val="24"/>
          <w:szCs w:val="24"/>
        </w:rPr>
        <w:t>—</w:t>
      </w:r>
      <w:r>
        <w:rPr>
          <w:rFonts w:hint="eastAsia"/>
          <w:sz w:val="24"/>
          <w:szCs w:val="24"/>
        </w:rPr>
        <w:t>4/4</w:t>
      </w:r>
      <w:r>
        <w:rPr>
          <w:rFonts w:hint="eastAsia"/>
          <w:sz w:val="24"/>
          <w:szCs w:val="24"/>
        </w:rPr>
        <w:t>）》说明堤心材</w:t>
      </w:r>
      <w:proofErr w:type="gramStart"/>
      <w:r>
        <w:rPr>
          <w:rFonts w:hint="eastAsia"/>
          <w:sz w:val="24"/>
          <w:szCs w:val="24"/>
        </w:rPr>
        <w:t>料文字</w:t>
      </w:r>
      <w:proofErr w:type="gramEnd"/>
      <w:r>
        <w:rPr>
          <w:rFonts w:hint="eastAsia"/>
          <w:sz w:val="24"/>
          <w:szCs w:val="24"/>
        </w:rPr>
        <w:t>说明，是否应为“堤心材料采用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～</w:t>
      </w:r>
      <w:r>
        <w:rPr>
          <w:rFonts w:hint="eastAsia"/>
          <w:sz w:val="24"/>
          <w:szCs w:val="24"/>
        </w:rPr>
        <w:t>300kg</w:t>
      </w:r>
      <w:r>
        <w:rPr>
          <w:rFonts w:hint="eastAsia"/>
          <w:sz w:val="24"/>
          <w:szCs w:val="24"/>
        </w:rPr>
        <w:t>开山石，含泥量小于</w:t>
      </w:r>
      <w:r>
        <w:rPr>
          <w:rFonts w:hint="eastAsia"/>
          <w:sz w:val="24"/>
          <w:szCs w:val="24"/>
        </w:rPr>
        <w:t>5%</w:t>
      </w:r>
      <w:r>
        <w:rPr>
          <w:rFonts w:hint="eastAsia"/>
          <w:sz w:val="24"/>
          <w:szCs w:val="24"/>
        </w:rPr>
        <w:t>，其中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～</w:t>
      </w:r>
      <w:r>
        <w:rPr>
          <w:rFonts w:hint="eastAsia"/>
          <w:sz w:val="24"/>
          <w:szCs w:val="24"/>
        </w:rPr>
        <w:t>10kg</w:t>
      </w:r>
      <w:r>
        <w:rPr>
          <w:rFonts w:hint="eastAsia"/>
          <w:sz w:val="24"/>
          <w:szCs w:val="24"/>
        </w:rPr>
        <w:t>的块石含量应小于</w:t>
      </w:r>
      <w:r>
        <w:rPr>
          <w:rFonts w:hint="eastAsia"/>
          <w:sz w:val="24"/>
          <w:szCs w:val="24"/>
        </w:rPr>
        <w:t>5%</w:t>
      </w:r>
      <w:r>
        <w:rPr>
          <w:rFonts w:hint="eastAsia"/>
          <w:sz w:val="24"/>
          <w:szCs w:val="24"/>
        </w:rPr>
        <w:t>”。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回复：已核实。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）为</w:t>
      </w:r>
      <w:proofErr w:type="gramStart"/>
      <w:r>
        <w:rPr>
          <w:rFonts w:hint="eastAsia"/>
          <w:sz w:val="24"/>
          <w:szCs w:val="24"/>
        </w:rPr>
        <w:t>加强消浪作用</w:t>
      </w:r>
      <w:proofErr w:type="gramEnd"/>
      <w:r>
        <w:rPr>
          <w:rFonts w:hint="eastAsia"/>
          <w:sz w:val="24"/>
          <w:szCs w:val="24"/>
        </w:rPr>
        <w:t>，建议防浪墙顶临水面做成弧形。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回复：根据计算，直立式胸墙</w:t>
      </w:r>
      <w:proofErr w:type="gramStart"/>
      <w:r>
        <w:rPr>
          <w:rFonts w:hint="eastAsia"/>
          <w:sz w:val="24"/>
          <w:szCs w:val="24"/>
        </w:rPr>
        <w:t>满足越浪要求</w:t>
      </w:r>
      <w:proofErr w:type="gramEnd"/>
      <w:r>
        <w:rPr>
          <w:rFonts w:hint="eastAsia"/>
          <w:sz w:val="24"/>
          <w:szCs w:val="24"/>
        </w:rPr>
        <w:t>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）“挡墙结构图”中排水管距离挡墙底板位置太近，建议适当调整。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回复：排水管排水坡度</w:t>
      </w:r>
      <w:r>
        <w:rPr>
          <w:rFonts w:hint="eastAsia"/>
          <w:sz w:val="24"/>
          <w:szCs w:val="24"/>
        </w:rPr>
        <w:t>1:10</w:t>
      </w:r>
      <w:r>
        <w:rPr>
          <w:rFonts w:hint="eastAsia"/>
          <w:sz w:val="24"/>
          <w:szCs w:val="24"/>
        </w:rPr>
        <w:t>，排水管内侧顶高程为</w:t>
      </w:r>
      <w:r>
        <w:rPr>
          <w:rFonts w:hint="eastAsia"/>
          <w:sz w:val="24"/>
          <w:szCs w:val="24"/>
        </w:rPr>
        <w:t>6.5m</w:t>
      </w:r>
      <w:r>
        <w:rPr>
          <w:rFonts w:hint="eastAsia"/>
          <w:sz w:val="24"/>
          <w:szCs w:val="24"/>
        </w:rPr>
        <w:t>，与陆域形成顶高程一致，满足排水要求，排水管与底板位置距离合理。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）“龙口断面图”挡墙型式与大样不一致，请核实。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回复：已修改完善。</w:t>
      </w:r>
    </w:p>
    <w:p w:rsidR="00F42D4B" w:rsidRDefault="009A0531">
      <w:pPr>
        <w:numPr>
          <w:ilvl w:val="0"/>
          <w:numId w:val="3"/>
        </w:numPr>
        <w:spacing w:line="440" w:lineRule="exact"/>
        <w:ind w:firstLineChars="200" w:firstLine="480"/>
        <w:jc w:val="left"/>
      </w:pPr>
      <w:r>
        <w:rPr>
          <w:rFonts w:hint="eastAsia"/>
          <w:sz w:val="24"/>
          <w:szCs w:val="24"/>
        </w:rPr>
        <w:t>高程、水平位移观测点是否可考虑置于防浪墙；观测点材质建议采用</w:t>
      </w:r>
      <w:r>
        <w:rPr>
          <w:rFonts w:hint="eastAsia"/>
          <w:sz w:val="24"/>
          <w:szCs w:val="24"/>
        </w:rPr>
        <w:lastRenderedPageBreak/>
        <w:t>316L</w:t>
      </w:r>
      <w:r>
        <w:rPr>
          <w:rFonts w:hint="eastAsia"/>
          <w:sz w:val="24"/>
          <w:szCs w:val="24"/>
        </w:rPr>
        <w:t>不锈钢材质。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回复：防浪墙顶设置永久位移观测点，采用</w:t>
      </w:r>
      <w:r>
        <w:rPr>
          <w:rFonts w:hint="eastAsia"/>
          <w:sz w:val="24"/>
          <w:szCs w:val="24"/>
        </w:rPr>
        <w:t>316L</w:t>
      </w:r>
      <w:r>
        <w:rPr>
          <w:rFonts w:hint="eastAsia"/>
          <w:sz w:val="24"/>
          <w:szCs w:val="24"/>
        </w:rPr>
        <w:t>不锈钢材质。</w:t>
      </w:r>
    </w:p>
    <w:p w:rsidR="00F42D4B" w:rsidRDefault="009A0531">
      <w:pPr>
        <w:spacing w:line="440" w:lineRule="exact"/>
        <w:ind w:firstLineChars="200" w:firstLine="480"/>
        <w:outlineLvl w:val="2"/>
        <w:rPr>
          <w:sz w:val="24"/>
          <w:szCs w:val="24"/>
        </w:rPr>
      </w:pPr>
      <w:bookmarkStart w:id="6" w:name="_Toc15188"/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）建议核实工程名称。</w:t>
      </w:r>
    </w:p>
    <w:p w:rsidR="00F42D4B" w:rsidRDefault="009A0531">
      <w:pPr>
        <w:spacing w:line="440" w:lineRule="exact"/>
        <w:ind w:firstLineChars="200" w:firstLine="480"/>
        <w:jc w:val="left"/>
      </w:pPr>
      <w:r>
        <w:rPr>
          <w:rFonts w:hint="eastAsia"/>
          <w:sz w:val="24"/>
          <w:szCs w:val="24"/>
        </w:rPr>
        <w:t>回复：已统一工程名称。</w:t>
      </w:r>
    </w:p>
    <w:p w:rsidR="00F42D4B" w:rsidRDefault="009A0531">
      <w:pPr>
        <w:spacing w:line="440" w:lineRule="exact"/>
        <w:ind w:firstLineChars="200" w:firstLine="482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第</w:t>
      </w:r>
      <w:r>
        <w:rPr>
          <w:rFonts w:hint="eastAsia"/>
          <w:b/>
          <w:sz w:val="24"/>
          <w:szCs w:val="24"/>
        </w:rPr>
        <w:t>十三</w:t>
      </w:r>
      <w:r>
        <w:rPr>
          <w:b/>
          <w:sz w:val="24"/>
          <w:szCs w:val="24"/>
        </w:rPr>
        <w:t>册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施工图预算</w:t>
      </w:r>
      <w:bookmarkEnd w:id="6"/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）西侧护岸建议核实开山石单价是否为料场采购价，如果是，开山石挖运和抛填分开计算。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</w:t>
      </w:r>
      <w:r>
        <w:rPr>
          <w:rFonts w:hint="eastAsia"/>
          <w:color w:val="000000" w:themeColor="text1"/>
          <w:kern w:val="0"/>
          <w:sz w:val="24"/>
          <w:szCs w:val="24"/>
        </w:rPr>
        <w:t>已核实，开山石按</w:t>
      </w:r>
      <w:r>
        <w:rPr>
          <w:rFonts w:hint="eastAsia"/>
          <w:color w:val="000000" w:themeColor="text1"/>
          <w:kern w:val="0"/>
          <w:sz w:val="24"/>
          <w:szCs w:val="24"/>
        </w:rPr>
        <w:t>20km</w:t>
      </w:r>
      <w:r>
        <w:rPr>
          <w:rFonts w:hint="eastAsia"/>
          <w:color w:val="000000" w:themeColor="text1"/>
          <w:kern w:val="0"/>
          <w:sz w:val="24"/>
          <w:szCs w:val="24"/>
        </w:rPr>
        <w:t>运距计费，费用包含挖运和抛填费用。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）预算表中多项工程数量与设计工程数量不符，请核实。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回复：已核实，按最新工程量计。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）水平位移、沉降观测点埋设单价偏高，设计应提供具体埋设的工程量，预算根据工程量计费，请核实。</w:t>
      </w:r>
    </w:p>
    <w:p w:rsidR="00F42D4B" w:rsidRDefault="009A0531">
      <w:pPr>
        <w:autoSpaceDE w:val="0"/>
        <w:autoSpaceDN w:val="0"/>
        <w:adjustRightInd w:val="0"/>
        <w:spacing w:line="312" w:lineRule="auto"/>
        <w:ind w:firstLineChars="200" w:firstLine="480"/>
        <w:jc w:val="left"/>
        <w:rPr>
          <w:color w:val="000000" w:themeColor="text1"/>
          <w:kern w:val="0"/>
          <w:sz w:val="24"/>
          <w:szCs w:val="24"/>
        </w:rPr>
      </w:pPr>
      <w:r>
        <w:rPr>
          <w:rFonts w:hint="eastAsia"/>
          <w:color w:val="000000" w:themeColor="text1"/>
          <w:kern w:val="0"/>
          <w:sz w:val="24"/>
          <w:szCs w:val="24"/>
        </w:rPr>
        <w:t>答复：已修改，详见西侧护岸计费表。</w:t>
      </w:r>
    </w:p>
    <w:p w:rsidR="00F42D4B" w:rsidRDefault="009A0531">
      <w:pPr>
        <w:spacing w:line="44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）抛填块石（</w:t>
      </w:r>
      <w:r>
        <w:rPr>
          <w:rFonts w:hint="eastAsia"/>
          <w:sz w:val="24"/>
          <w:szCs w:val="24"/>
        </w:rPr>
        <w:t>50~100kg</w:t>
      </w:r>
      <w:r>
        <w:rPr>
          <w:rFonts w:hint="eastAsia"/>
          <w:sz w:val="24"/>
          <w:szCs w:val="24"/>
        </w:rPr>
        <w:t>）垫层为“利用石方”，建议设计文件中补充材料来源。</w:t>
      </w:r>
    </w:p>
    <w:p w:rsidR="00F42D4B" w:rsidRDefault="009A0531">
      <w:pPr>
        <w:spacing w:line="440" w:lineRule="exact"/>
        <w:ind w:firstLineChars="200" w:firstLine="480"/>
        <w:jc w:val="left"/>
      </w:pPr>
      <w:r>
        <w:rPr>
          <w:rFonts w:hint="eastAsia"/>
          <w:sz w:val="24"/>
          <w:szCs w:val="24"/>
        </w:rPr>
        <w:t>回复：</w:t>
      </w:r>
      <w:r>
        <w:rPr>
          <w:rFonts w:hint="eastAsia"/>
          <w:color w:val="000000" w:themeColor="text1"/>
          <w:kern w:val="0"/>
          <w:sz w:val="24"/>
          <w:szCs w:val="24"/>
        </w:rPr>
        <w:t>本项目一期工程围堰护面块石方可供本项目利用，运距</w:t>
      </w:r>
      <w:r>
        <w:rPr>
          <w:rFonts w:hint="eastAsia"/>
          <w:color w:val="000000" w:themeColor="text1"/>
          <w:kern w:val="0"/>
          <w:sz w:val="24"/>
          <w:szCs w:val="24"/>
        </w:rPr>
        <w:t>1km</w:t>
      </w:r>
      <w:r>
        <w:rPr>
          <w:rFonts w:hint="eastAsia"/>
          <w:color w:val="000000" w:themeColor="text1"/>
          <w:kern w:val="0"/>
          <w:sz w:val="24"/>
          <w:szCs w:val="24"/>
        </w:rPr>
        <w:t>。详见设计说明中“</w:t>
      </w:r>
      <w:r>
        <w:rPr>
          <w:rFonts w:hint="eastAsia"/>
          <w:color w:val="000000" w:themeColor="text1"/>
          <w:kern w:val="0"/>
          <w:sz w:val="24"/>
          <w:szCs w:val="24"/>
        </w:rPr>
        <w:t>4.7</w:t>
      </w:r>
      <w:r>
        <w:rPr>
          <w:color w:val="000000" w:themeColor="text1"/>
          <w:kern w:val="0"/>
          <w:sz w:val="24"/>
          <w:szCs w:val="24"/>
        </w:rPr>
        <w:t>主要工程量</w:t>
      </w:r>
      <w:r>
        <w:rPr>
          <w:rFonts w:hint="eastAsia"/>
          <w:color w:val="000000" w:themeColor="text1"/>
          <w:kern w:val="0"/>
          <w:sz w:val="24"/>
          <w:szCs w:val="24"/>
        </w:rPr>
        <w:t>”备注中说明。</w:t>
      </w:r>
    </w:p>
    <w:sectPr w:rsidR="00F42D4B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6EE" w:rsidRDefault="00C026EE">
      <w:r>
        <w:separator/>
      </w:r>
    </w:p>
  </w:endnote>
  <w:endnote w:type="continuationSeparator" w:id="0">
    <w:p w:rsidR="00C026EE" w:rsidRDefault="00C0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D4B" w:rsidRDefault="009A053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42D4B" w:rsidRDefault="009A0531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F5EF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fldSimple w:instr=" NUMPAGES  \* MERGEFORMAT ">
                            <w:r w:rsidR="00CF5EFF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42D4B" w:rsidRDefault="009A0531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F5EF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/ </w:t>
                    </w:r>
                    <w:fldSimple w:instr=" NUMPAGES  \* MERGEFORMAT ">
                      <w:r w:rsidR="00CF5EFF">
                        <w:rPr>
                          <w:noProof/>
                        </w:rPr>
                        <w:t>4</w:t>
                      </w:r>
                    </w:fldSimple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6EE" w:rsidRDefault="00C026EE">
      <w:r>
        <w:separator/>
      </w:r>
    </w:p>
  </w:footnote>
  <w:footnote w:type="continuationSeparator" w:id="0">
    <w:p w:rsidR="00C026EE" w:rsidRDefault="00C02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5B61DD"/>
    <w:multiLevelType w:val="singleLevel"/>
    <w:tmpl w:val="B25B61DD"/>
    <w:lvl w:ilvl="0">
      <w:start w:val="2"/>
      <w:numFmt w:val="decimal"/>
      <w:suff w:val="nothing"/>
      <w:lvlText w:val="%1、"/>
      <w:lvlJc w:val="left"/>
    </w:lvl>
  </w:abstractNum>
  <w:abstractNum w:abstractNumId="1">
    <w:nsid w:val="328975C6"/>
    <w:multiLevelType w:val="multilevel"/>
    <w:tmpl w:val="328975C6"/>
    <w:lvl w:ilvl="0">
      <w:start w:val="1"/>
      <w:numFmt w:val="decimal"/>
      <w:lvlText w:val="第%1章 "/>
      <w:lvlJc w:val="left"/>
      <w:pPr>
        <w:ind w:left="432" w:hanging="432"/>
      </w:pPr>
      <w:rPr>
        <w:rFonts w:hint="eastAsia"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eastAsia="宋体" w:hAnsi="Times New Roman" w:hint="default"/>
        <w:b/>
        <w:i w:val="0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0" w:firstLine="0"/>
      </w:pPr>
      <w:rPr>
        <w:rFonts w:ascii="Times New Roman" w:eastAsia="宋体" w:hAnsi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 w:hint="eastAsia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">
    <w:nsid w:val="6CAD2ED8"/>
    <w:multiLevelType w:val="singleLevel"/>
    <w:tmpl w:val="6CAD2ED8"/>
    <w:lvl w:ilvl="0">
      <w:start w:val="5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717"/>
    <w:rsid w:val="000C7F47"/>
    <w:rsid w:val="00172A27"/>
    <w:rsid w:val="00530F75"/>
    <w:rsid w:val="006229DA"/>
    <w:rsid w:val="007C5508"/>
    <w:rsid w:val="00830FDE"/>
    <w:rsid w:val="00903E93"/>
    <w:rsid w:val="009A0531"/>
    <w:rsid w:val="009F2061"/>
    <w:rsid w:val="00A07DAF"/>
    <w:rsid w:val="00C026EE"/>
    <w:rsid w:val="00C66CBD"/>
    <w:rsid w:val="00CF215A"/>
    <w:rsid w:val="00CF5EFF"/>
    <w:rsid w:val="00D70916"/>
    <w:rsid w:val="00F42D4B"/>
    <w:rsid w:val="00F50639"/>
    <w:rsid w:val="016E10E0"/>
    <w:rsid w:val="02C25678"/>
    <w:rsid w:val="0880515D"/>
    <w:rsid w:val="0958162A"/>
    <w:rsid w:val="11252F16"/>
    <w:rsid w:val="14093C51"/>
    <w:rsid w:val="17C95623"/>
    <w:rsid w:val="1D0516C0"/>
    <w:rsid w:val="20840419"/>
    <w:rsid w:val="210668C5"/>
    <w:rsid w:val="217066B1"/>
    <w:rsid w:val="222B2070"/>
    <w:rsid w:val="263D0224"/>
    <w:rsid w:val="26FD1E7B"/>
    <w:rsid w:val="2CC733CC"/>
    <w:rsid w:val="2DF2786F"/>
    <w:rsid w:val="32840F8F"/>
    <w:rsid w:val="39F5409E"/>
    <w:rsid w:val="3B4145DE"/>
    <w:rsid w:val="3F9B7E92"/>
    <w:rsid w:val="412C177C"/>
    <w:rsid w:val="46B33E00"/>
    <w:rsid w:val="50F9756B"/>
    <w:rsid w:val="5B0A0784"/>
    <w:rsid w:val="5E2730F1"/>
    <w:rsid w:val="5E8C3B32"/>
    <w:rsid w:val="61E65C29"/>
    <w:rsid w:val="62265778"/>
    <w:rsid w:val="62A260AB"/>
    <w:rsid w:val="6442508A"/>
    <w:rsid w:val="6F1F2DCD"/>
    <w:rsid w:val="71815B0F"/>
    <w:rsid w:val="7F17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0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tabs>
        <w:tab w:val="left" w:pos="432"/>
        <w:tab w:val="left" w:pos="3267"/>
      </w:tabs>
      <w:spacing w:line="360" w:lineRule="auto"/>
      <w:jc w:val="left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First Indent 2"/>
    <w:basedOn w:val="a3"/>
    <w:qFormat/>
    <w:pPr>
      <w:adjustRightInd w:val="0"/>
      <w:snapToGrid w:val="0"/>
      <w:spacing w:line="480" w:lineRule="exact"/>
      <w:ind w:firstLineChars="200" w:firstLine="420"/>
    </w:pPr>
  </w:style>
  <w:style w:type="paragraph" w:styleId="a3">
    <w:name w:val="Body Text Indent"/>
    <w:basedOn w:val="a"/>
    <w:qFormat/>
    <w:pPr>
      <w:spacing w:after="120"/>
      <w:ind w:leftChars="200" w:left="420"/>
    </w:pPr>
    <w:rPr>
      <w:szCs w:val="24"/>
    </w:rPr>
  </w:style>
  <w:style w:type="paragraph" w:styleId="a4">
    <w:name w:val="annotation text"/>
    <w:basedOn w:val="a"/>
    <w:link w:val="Char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kern w:val="0"/>
      <w:szCs w:val="28"/>
    </w:rPr>
  </w:style>
  <w:style w:type="paragraph" w:styleId="a6">
    <w:name w:val="Balloon Text"/>
    <w:basedOn w:val="a"/>
    <w:link w:val="Char0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annotation subject"/>
    <w:basedOn w:val="a4"/>
    <w:next w:val="a4"/>
    <w:link w:val="Char1"/>
    <w:qFormat/>
    <w:rPr>
      <w:b/>
      <w:bCs/>
    </w:rPr>
  </w:style>
  <w:style w:type="character" w:styleId="aa">
    <w:name w:val="annotation reference"/>
    <w:basedOn w:val="a0"/>
    <w:qFormat/>
    <w:rPr>
      <w:sz w:val="21"/>
      <w:szCs w:val="21"/>
    </w:rPr>
  </w:style>
  <w:style w:type="paragraph" w:customStyle="1" w:styleId="5-">
    <w:name w:val="5-正文"/>
    <w:basedOn w:val="a5"/>
    <w:autoRedefine/>
    <w:qFormat/>
    <w:pPr>
      <w:adjustRightInd w:val="0"/>
      <w:snapToGrid w:val="0"/>
      <w:spacing w:line="500" w:lineRule="exact"/>
      <w:ind w:firstLineChars="200" w:firstLine="200"/>
    </w:pPr>
    <w:rPr>
      <w:rFonts w:hAnsi="宋体" w:cs="Courier New"/>
      <w:kern w:val="2"/>
    </w:rPr>
  </w:style>
  <w:style w:type="character" w:customStyle="1" w:styleId="Char">
    <w:name w:val="批注文字 Char"/>
    <w:basedOn w:val="a0"/>
    <w:link w:val="a4"/>
    <w:qFormat/>
    <w:rPr>
      <w:rFonts w:ascii="Times New Roman" w:eastAsia="宋体" w:hAnsi="Times New Roman" w:cs="Times New Roman"/>
      <w:kern w:val="2"/>
      <w:sz w:val="28"/>
    </w:rPr>
  </w:style>
  <w:style w:type="character" w:customStyle="1" w:styleId="Char1">
    <w:name w:val="批注主题 Char"/>
    <w:basedOn w:val="Char"/>
    <w:link w:val="a9"/>
    <w:qFormat/>
    <w:rPr>
      <w:rFonts w:ascii="Times New Roman" w:eastAsia="宋体" w:hAnsi="Times New Roman" w:cs="Times New Roman"/>
      <w:b/>
      <w:bCs/>
      <w:kern w:val="2"/>
      <w:sz w:val="28"/>
    </w:rPr>
  </w:style>
  <w:style w:type="character" w:customStyle="1" w:styleId="Char0">
    <w:name w:val="批注框文本 Char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GDCI">
    <w:name w:val="GDCI正文"/>
    <w:basedOn w:val="a"/>
    <w:autoRedefine/>
    <w:qFormat/>
    <w:pPr>
      <w:adjustRightInd w:val="0"/>
      <w:snapToGrid w:val="0"/>
      <w:spacing w:beforeLines="20" w:afterLines="30" w:line="312" w:lineRule="auto"/>
      <w:ind w:firstLineChars="200" w:firstLine="200"/>
      <w:jc w:val="left"/>
    </w:pPr>
    <w:rPr>
      <w:rFonts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0"/>
    <w:qFormat/>
    <w:pPr>
      <w:widowControl w:val="0"/>
      <w:jc w:val="both"/>
    </w:pPr>
    <w:rPr>
      <w:rFonts w:ascii="Times New Roman" w:eastAsia="宋体" w:hAnsi="Times New Roman" w:cs="Times New Roman"/>
      <w:kern w:val="2"/>
      <w:sz w:val="28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tabs>
        <w:tab w:val="left" w:pos="432"/>
        <w:tab w:val="left" w:pos="3267"/>
      </w:tabs>
      <w:spacing w:line="360" w:lineRule="auto"/>
      <w:jc w:val="left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First Indent 2"/>
    <w:basedOn w:val="a3"/>
    <w:qFormat/>
    <w:pPr>
      <w:adjustRightInd w:val="0"/>
      <w:snapToGrid w:val="0"/>
      <w:spacing w:line="480" w:lineRule="exact"/>
      <w:ind w:firstLineChars="200" w:firstLine="420"/>
    </w:pPr>
  </w:style>
  <w:style w:type="paragraph" w:styleId="a3">
    <w:name w:val="Body Text Indent"/>
    <w:basedOn w:val="a"/>
    <w:qFormat/>
    <w:pPr>
      <w:spacing w:after="120"/>
      <w:ind w:leftChars="200" w:left="420"/>
    </w:pPr>
    <w:rPr>
      <w:szCs w:val="24"/>
    </w:rPr>
  </w:style>
  <w:style w:type="paragraph" w:styleId="a4">
    <w:name w:val="annotation text"/>
    <w:basedOn w:val="a"/>
    <w:link w:val="Char"/>
    <w:qFormat/>
    <w:pPr>
      <w:jc w:val="left"/>
    </w:pPr>
  </w:style>
  <w:style w:type="paragraph" w:styleId="a5">
    <w:name w:val="Plain Text"/>
    <w:basedOn w:val="a"/>
    <w:qFormat/>
    <w:rPr>
      <w:rFonts w:ascii="宋体" w:hAnsi="Courier New"/>
      <w:kern w:val="0"/>
      <w:szCs w:val="28"/>
    </w:rPr>
  </w:style>
  <w:style w:type="paragraph" w:styleId="a6">
    <w:name w:val="Balloon Text"/>
    <w:basedOn w:val="a"/>
    <w:link w:val="Char0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annotation subject"/>
    <w:basedOn w:val="a4"/>
    <w:next w:val="a4"/>
    <w:link w:val="Char1"/>
    <w:qFormat/>
    <w:rPr>
      <w:b/>
      <w:bCs/>
    </w:rPr>
  </w:style>
  <w:style w:type="character" w:styleId="aa">
    <w:name w:val="annotation reference"/>
    <w:basedOn w:val="a0"/>
    <w:qFormat/>
    <w:rPr>
      <w:sz w:val="21"/>
      <w:szCs w:val="21"/>
    </w:rPr>
  </w:style>
  <w:style w:type="paragraph" w:customStyle="1" w:styleId="5-">
    <w:name w:val="5-正文"/>
    <w:basedOn w:val="a5"/>
    <w:autoRedefine/>
    <w:qFormat/>
    <w:pPr>
      <w:adjustRightInd w:val="0"/>
      <w:snapToGrid w:val="0"/>
      <w:spacing w:line="500" w:lineRule="exact"/>
      <w:ind w:firstLineChars="200" w:firstLine="200"/>
    </w:pPr>
    <w:rPr>
      <w:rFonts w:hAnsi="宋体" w:cs="Courier New"/>
      <w:kern w:val="2"/>
    </w:rPr>
  </w:style>
  <w:style w:type="character" w:customStyle="1" w:styleId="Char">
    <w:name w:val="批注文字 Char"/>
    <w:basedOn w:val="a0"/>
    <w:link w:val="a4"/>
    <w:qFormat/>
    <w:rPr>
      <w:rFonts w:ascii="Times New Roman" w:eastAsia="宋体" w:hAnsi="Times New Roman" w:cs="Times New Roman"/>
      <w:kern w:val="2"/>
      <w:sz w:val="28"/>
    </w:rPr>
  </w:style>
  <w:style w:type="character" w:customStyle="1" w:styleId="Char1">
    <w:name w:val="批注主题 Char"/>
    <w:basedOn w:val="Char"/>
    <w:link w:val="a9"/>
    <w:qFormat/>
    <w:rPr>
      <w:rFonts w:ascii="Times New Roman" w:eastAsia="宋体" w:hAnsi="Times New Roman" w:cs="Times New Roman"/>
      <w:b/>
      <w:bCs/>
      <w:kern w:val="2"/>
      <w:sz w:val="28"/>
    </w:rPr>
  </w:style>
  <w:style w:type="character" w:customStyle="1" w:styleId="Char0">
    <w:name w:val="批注框文本 Char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GDCI">
    <w:name w:val="GDCI正文"/>
    <w:basedOn w:val="a"/>
    <w:autoRedefine/>
    <w:qFormat/>
    <w:pPr>
      <w:adjustRightInd w:val="0"/>
      <w:snapToGrid w:val="0"/>
      <w:spacing w:beforeLines="20" w:afterLines="30" w:line="312" w:lineRule="auto"/>
      <w:ind w:firstLineChars="200" w:firstLine="200"/>
      <w:jc w:val="left"/>
    </w:pPr>
    <w:rPr>
      <w:rFonts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pnsyam1</dc:creator>
  <cp:lastModifiedBy>86159</cp:lastModifiedBy>
  <cp:revision>12</cp:revision>
  <cp:lastPrinted>2025-04-10T09:51:00Z</cp:lastPrinted>
  <dcterms:created xsi:type="dcterms:W3CDTF">2025-03-02T14:48:00Z</dcterms:created>
  <dcterms:modified xsi:type="dcterms:W3CDTF">2025-04-10T09:51:00Z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AAED9574E4F646A78869EB8040340AE6_13</vt:lpwstr>
  </property>
  <property fmtid="{D5CDD505-2E9C-101B-9397-08002B2CF9AE}" pid="4" name="KSOTemplateDocerSaveRecord">
    <vt:lpwstr>eyJoZGlkIjoiMjFlZGMyZTJkMGRmYjE3MzkyMDFjZTk0ZjExN2RkNzEiLCJ1c2VySWQiOiI3ODQ3MzI4OTAifQ==</vt:lpwstr>
  </property>
</Properties>
</file>